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305609</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22 -26 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HARQ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w:t>
      </w:r>
      <w:r>
        <w:rPr>
          <w:rFonts w:hint="eastAsia" w:ascii="Arial" w:hAnsi="Arial" w:eastAsia="宋体" w:cs="Arial"/>
          <w:kern w:val="0"/>
          <w:sz w:val="20"/>
          <w:szCs w:val="20"/>
          <w:lang w:val="en-US" w:eastAsia="zh-CN"/>
        </w:rPr>
        <w:t>21bis-e</w:t>
      </w:r>
      <w:r>
        <w:rPr>
          <w:rFonts w:hint="eastAsia" w:ascii="Arial" w:hAnsi="Arial" w:eastAsia="宋体" w:cs="Arial"/>
          <w:kern w:val="0"/>
          <w:sz w:val="20"/>
          <w:szCs w:val="20"/>
          <w:lang w:val="en-GB"/>
        </w:rPr>
        <w:t xml:space="preserve"> </w:t>
      </w:r>
      <w:r>
        <w:rPr>
          <w:rFonts w:hint="eastAsia" w:ascii="Arial" w:hAnsi="Arial" w:eastAsia="宋体" w:cs="Arial"/>
          <w:kern w:val="0"/>
          <w:sz w:val="20"/>
          <w:szCs w:val="20"/>
        </w:rPr>
        <w:t>[1]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HARQ</w:t>
      </w:r>
      <w:r>
        <w:rPr>
          <w:rFonts w:hint="eastAsia" w:ascii="Arial" w:hAnsi="Arial" w:eastAsia="宋体" w:cs="Arial"/>
          <w:kern w:val="0"/>
          <w:sz w:val="20"/>
          <w:szCs w:val="20"/>
        </w:rPr>
        <w:t xml:space="preserv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are achieved</w:t>
      </w:r>
      <w:r>
        <w:rPr>
          <w:rFonts w:ascii="Arial" w:hAnsi="Arial" w:eastAsia="宋体" w:cs="Arial"/>
          <w:kern w:val="0"/>
          <w:sz w:val="20"/>
          <w:szCs w:val="20"/>
          <w:lang w:val="en-GB" w:eastAsia="en-US"/>
        </w:rPr>
        <w:t xml:space="preserve">: </w:t>
      </w:r>
    </w:p>
    <w:p>
      <w:pPr>
        <w:pStyle w:val="18"/>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Agreements:</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Wait for RAN1’s decision on the RRC signalling of enabling DCI-based solution to indicate HARQ feedback enabled/disabled, and the signalling granularity, e.g. per UE or per HARQ process</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On DCI indication overriding RRC configuration for the HARQ feedback enabled/disabled, wait for RAN1’s progress on DCI-based solution before discussing related DRX impact in RAN2.</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On DL multiple TB scheduling, wait for RAN1’s progress before discussing related DRX impact in RAN2.</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 xml:space="preserve">P4 in </w:t>
      </w:r>
      <w:r>
        <w:rPr>
          <w:rFonts w:hint="default" w:ascii="Arial" w:hAnsi="Arial" w:cs="Arial"/>
          <w:sz w:val="20"/>
          <w:szCs w:val="20"/>
        </w:rPr>
        <w:fldChar w:fldCharType="begin"/>
      </w:r>
      <w:r>
        <w:rPr>
          <w:rFonts w:hint="default" w:ascii="Arial" w:hAnsi="Arial" w:cs="Arial"/>
          <w:sz w:val="20"/>
          <w:szCs w:val="20"/>
        </w:rPr>
        <w:instrText xml:space="preserve"> HYPERLINK "file:///C:\\Data\\3GPP\\Extracts\\R2-2302557.DOCX" \o "C:Data3GPPExtractsR2-2302557.DOCX" </w:instrText>
      </w:r>
      <w:r>
        <w:rPr>
          <w:rFonts w:hint="default" w:ascii="Arial" w:hAnsi="Arial" w:cs="Arial"/>
          <w:sz w:val="20"/>
          <w:szCs w:val="20"/>
        </w:rPr>
        <w:fldChar w:fldCharType="separate"/>
      </w:r>
      <w:r>
        <w:rPr>
          <w:rStyle w:val="11"/>
          <w:rFonts w:hint="default" w:ascii="Arial" w:hAnsi="Arial" w:cs="Arial"/>
          <w:sz w:val="20"/>
          <w:szCs w:val="20"/>
        </w:rPr>
        <w:t>R2-2302557</w:t>
      </w:r>
      <w:r>
        <w:rPr>
          <w:rStyle w:val="11"/>
          <w:rFonts w:hint="default" w:ascii="Arial" w:hAnsi="Arial" w:cs="Arial"/>
          <w:sz w:val="20"/>
          <w:szCs w:val="20"/>
        </w:rPr>
        <w:fldChar w:fldCharType="end"/>
      </w:r>
      <w:r>
        <w:rPr>
          <w:rFonts w:hint="default" w:ascii="Arial" w:hAnsi="Arial" w:cs="Arial"/>
          <w:sz w:val="20"/>
          <w:szCs w:val="20"/>
        </w:rPr>
        <w:t xml:space="preserve"> is not agreed, i.e. no special handling for single HARQ process for eMTC.</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For a NB-IoT UE configured with a single HARQ process in HARQ mode B, send LS to RAN1 and ask for the “processing time for starting drx-InactivityTimer (i.e. start to monitor NPDCCH)”. (can further check the detailed wording of the question)</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Network implementation resolves the issue of ambiguity on start of DRX inactivity timer after the PUSCH transmission by not scheduling the NPDCCH back-to-back during the ambiguity period (i.e., Koffset – UE’s TA)</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Send LS to RAN1 to check for UL multiple TB scheduling, which UL HARQ mode combination(s) are to be supported.</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In the LS to RAN1, we don’t include a question on whether RAN1 intends to introduce the DCI-based solution for the UL HARQ mode</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UL transmission using SPS can be configured with HARQ mode B</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 xml:space="preserve">P1 in </w:t>
      </w:r>
      <w:r>
        <w:rPr>
          <w:rFonts w:hint="default" w:ascii="Arial" w:hAnsi="Arial" w:cs="Arial"/>
          <w:sz w:val="20"/>
          <w:szCs w:val="20"/>
        </w:rPr>
        <w:fldChar w:fldCharType="begin"/>
      </w:r>
      <w:r>
        <w:rPr>
          <w:rFonts w:hint="default" w:ascii="Arial" w:hAnsi="Arial" w:cs="Arial"/>
          <w:sz w:val="20"/>
          <w:szCs w:val="20"/>
        </w:rPr>
        <w:instrText xml:space="preserve"> HYPERLINK "file:///C:\\Data\\3GPP\\Extracts\\R2-2303713%20(R18%20IoT-NTN%20WI%20AI%207.6.2.1)%20-%20disabling%20HARQ%20feedback.docx" \o "C:Data3GPPExtractsR2-2303713 (R18 IoT-NTN WI AI 7.6.2.1) - disabling HARQ feedback.docx" </w:instrText>
      </w:r>
      <w:r>
        <w:rPr>
          <w:rFonts w:hint="default" w:ascii="Arial" w:hAnsi="Arial" w:cs="Arial"/>
          <w:sz w:val="20"/>
          <w:szCs w:val="20"/>
        </w:rPr>
        <w:fldChar w:fldCharType="separate"/>
      </w:r>
      <w:r>
        <w:rPr>
          <w:rStyle w:val="11"/>
          <w:rFonts w:hint="default" w:ascii="Arial" w:hAnsi="Arial" w:cs="Arial"/>
          <w:sz w:val="20"/>
          <w:szCs w:val="20"/>
        </w:rPr>
        <w:t>R2-2303713</w:t>
      </w:r>
      <w:r>
        <w:rPr>
          <w:rStyle w:val="11"/>
          <w:rFonts w:hint="default" w:ascii="Arial" w:hAnsi="Arial" w:cs="Arial"/>
          <w:sz w:val="20"/>
          <w:szCs w:val="20"/>
        </w:rPr>
        <w:fldChar w:fldCharType="end"/>
      </w:r>
      <w:r>
        <w:rPr>
          <w:rFonts w:hint="default" w:ascii="Arial" w:hAnsi="Arial" w:cs="Arial"/>
          <w:sz w:val="20"/>
          <w:szCs w:val="20"/>
        </w:rPr>
        <w:t xml:space="preserve"> is not agreed, i.e. do not enhance the LCP restriction based on uplinkHARQ-Mode for different RLC PDU types</w:t>
      </w:r>
    </w:p>
    <w:p>
      <w:pPr>
        <w:pStyle w:val="18"/>
        <w:numPr>
          <w:ilvl w:val="0"/>
          <w:numId w:val="1"/>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Send LS to RAN1 informing RAN2’s agreements and also including potential questions to be checked with RAN1</w:t>
      </w:r>
    </w:p>
    <w:p>
      <w:pPr>
        <w:pStyle w:val="18"/>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Agreements via email – from offline 103 – second round:</w:t>
      </w:r>
    </w:p>
    <w:p>
      <w:pPr>
        <w:pStyle w:val="18"/>
        <w:numPr>
          <w:ilvl w:val="0"/>
          <w:numId w:val="2"/>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Add one more question in the LS to check with RAN1 which of the below understandings is correct for the RAN1 agreement.</w:t>
      </w:r>
    </w:p>
    <w:p>
      <w:pPr>
        <w:pStyle w:val="18"/>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Understanding 1: For a DL HARQ process with disabled HARQ feedback in NB-IoT, UE is not required to monitor NPDCCH for the same HARQ process in a period of Y=12(ms) from the end of reception of the NPDSCH.</w:t>
      </w:r>
    </w:p>
    <w:p>
      <w:pPr>
        <w:pStyle w:val="18"/>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Understanding 2: For a DL HARQ process with disabled HARQ feedback in NB-IoT, UE is not required to monitor NPDCCH for all the HARQ processes in a period of Y=12(ms) from the end of reception of the NPDSCH.</w:t>
      </w:r>
    </w:p>
    <w:p>
      <w:pPr>
        <w:pStyle w:val="18"/>
        <w:numPr>
          <w:ilvl w:val="0"/>
          <w:numId w:val="2"/>
        </w:numPr>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 xml:space="preserve">RAN2 further discuss whether UL transmission using PUR can be configured with HARQ mode B. </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 on</w:t>
      </w:r>
      <w:r>
        <w:rPr>
          <w:rFonts w:ascii="Arial" w:hAnsi="Arial" w:eastAsia="宋体" w:cs="Arial"/>
          <w:kern w:val="0"/>
          <w:sz w:val="20"/>
          <w:szCs w:val="20"/>
          <w:lang w:val="en-GB"/>
        </w:rPr>
        <w:t xml:space="preserve"> </w:t>
      </w:r>
      <w:r>
        <w:rPr>
          <w:rFonts w:hint="eastAsia" w:ascii="Arial" w:hAnsi="Arial" w:eastAsia="宋体" w:cs="Arial"/>
          <w:kern w:val="0"/>
          <w:sz w:val="20"/>
          <w:szCs w:val="20"/>
        </w:rPr>
        <w:t>HARQ enhancements for IoT-NTN</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before="240" w:after="180"/>
        <w:outlineLvl w:val="1"/>
        <w:rPr>
          <w:rFonts w:hint="default" w:ascii="Arial" w:hAnsi="Arial" w:eastAsia="宋体" w:cs="Arial"/>
          <w:kern w:val="0"/>
          <w:sz w:val="32"/>
          <w:szCs w:val="32"/>
          <w:lang w:val="en-US" w:eastAsia="zh-CN"/>
        </w:rPr>
      </w:pPr>
      <w:r>
        <w:rPr>
          <w:rFonts w:ascii="Arial" w:hAnsi="Arial" w:eastAsia="宋体" w:cs="Arial"/>
          <w:kern w:val="0"/>
          <w:sz w:val="32"/>
          <w:szCs w:val="32"/>
        </w:rPr>
        <w:t>2.</w:t>
      </w:r>
      <w:r>
        <w:rPr>
          <w:rFonts w:hint="eastAsia" w:ascii="Arial" w:hAnsi="Arial" w:eastAsia="宋体" w:cs="Arial"/>
          <w:kern w:val="0"/>
          <w:sz w:val="32"/>
          <w:szCs w:val="32"/>
          <w:lang w:val="en-US" w:eastAsia="zh-CN"/>
        </w:rPr>
        <w:t>1</w:t>
      </w:r>
      <w:r>
        <w:rPr>
          <w:rFonts w:ascii="Arial" w:hAnsi="Arial" w:eastAsia="宋体" w:cs="Arial"/>
          <w:kern w:val="0"/>
          <w:sz w:val="32"/>
          <w:szCs w:val="32"/>
        </w:rPr>
        <w:t xml:space="preserve"> </w:t>
      </w:r>
      <w:r>
        <w:rPr>
          <w:rFonts w:hint="eastAsia" w:ascii="Arial" w:hAnsi="Arial" w:eastAsia="宋体" w:cs="Arial"/>
          <w:kern w:val="0"/>
          <w:sz w:val="32"/>
          <w:szCs w:val="32"/>
          <w:lang w:val="en-US" w:eastAsia="zh-CN"/>
        </w:rPr>
        <w:t>HARQ configuration if mpdcch-UL-HARQ-ACK-FeedbackConfig is configured</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discussed for eMTC NTN, whether it can be left to eNB</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implementation to configure either HARQ mode A or HARQ mode B for all HARQ process (or no HARQ mode) if </w:t>
      </w:r>
      <w:r>
        <w:rPr>
          <w:rFonts w:hint="eastAsia" w:ascii="Arial" w:hAnsi="Arial" w:eastAsia="宋体" w:cs="Arial"/>
          <w:i/>
          <w:iCs/>
          <w:kern w:val="0"/>
          <w:sz w:val="20"/>
          <w:szCs w:val="20"/>
          <w:lang w:val="en-US" w:eastAsia="zh-CN"/>
        </w:rPr>
        <w:t>mpdcch-UL-HARQ-ACK-FeedbackConfig</w:t>
      </w:r>
      <w:r>
        <w:rPr>
          <w:rFonts w:hint="eastAsia" w:ascii="Arial" w:hAnsi="Arial" w:eastAsia="宋体" w:cs="Arial"/>
          <w:kern w:val="0"/>
          <w:sz w:val="20"/>
          <w:szCs w:val="20"/>
          <w:lang w:val="en-US" w:eastAsia="zh-CN"/>
        </w:rPr>
        <w:t xml:space="preserve"> is configured, and has no consensus on this issue.</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According to the description of </w:t>
      </w:r>
      <w:r>
        <w:rPr>
          <w:rFonts w:hint="eastAsia" w:ascii="Arial" w:hAnsi="Arial" w:eastAsia="宋体" w:cs="Arial"/>
          <w:i/>
          <w:iCs/>
          <w:kern w:val="0"/>
          <w:sz w:val="20"/>
          <w:szCs w:val="20"/>
          <w:lang w:val="en-US" w:eastAsia="zh-CN"/>
        </w:rPr>
        <w:t>mpdcch-UL-HARQ-ACK-FeedbackConfig</w:t>
      </w:r>
      <w:r>
        <w:rPr>
          <w:rFonts w:hint="eastAsia" w:ascii="Arial" w:hAnsi="Arial" w:eastAsia="宋体" w:cs="Arial"/>
          <w:kern w:val="0"/>
          <w:sz w:val="20"/>
          <w:szCs w:val="20"/>
          <w:lang w:val="en-US" w:eastAsia="zh-CN"/>
        </w:rPr>
        <w:t xml:space="preserve"> in TS 36.331 [2], if it is configured with value TRUE, eNB may send HARQ ACK for early termination of PUSCH transmission, e.g. in the case that the large repetition number is configured.</w:t>
      </w:r>
    </w:p>
    <w:tbl>
      <w:tblPr>
        <w:tblStyle w:val="8"/>
        <w:tblW w:w="9648"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4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8" w:type="dxa"/>
          </w:tcPr>
          <w:p>
            <w:pPr>
              <w:pStyle w:val="22"/>
              <w:rPr>
                <w:b/>
                <w:i/>
              </w:rPr>
            </w:pPr>
            <w:r>
              <w:rPr>
                <w:b/>
                <w:i/>
              </w:rPr>
              <w:t>mpdcch-UL-HARQ-ACK-FeedbackConfig</w:t>
            </w:r>
          </w:p>
          <w:p>
            <w:pPr>
              <w:pStyle w:val="22"/>
              <w:rPr>
                <w:rFonts w:cs="Arial"/>
              </w:rPr>
            </w:pPr>
            <w:r>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our understanding, even if the network configures a HARQ process with HARQ mode B, it does not prevent the network to send HARQ ACK to early terminate the PUSCH repetitions. We think that it can be left to eNB</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implementation to configure HARQ mode for all HARQ process if </w:t>
      </w:r>
      <w:r>
        <w:rPr>
          <w:rFonts w:hint="eastAsia" w:ascii="Arial" w:hAnsi="Arial" w:eastAsia="宋体" w:cs="Arial"/>
          <w:i/>
          <w:iCs/>
          <w:kern w:val="0"/>
          <w:sz w:val="20"/>
          <w:szCs w:val="20"/>
          <w:lang w:val="en-US" w:eastAsia="zh-CN"/>
        </w:rPr>
        <w:t>mpdcch-UL-HARQ-ACK-FeedbackConfig</w:t>
      </w:r>
      <w:r>
        <w:rPr>
          <w:rFonts w:hint="eastAsia" w:ascii="Arial" w:hAnsi="Arial" w:eastAsia="宋体" w:cs="Arial"/>
          <w:kern w:val="0"/>
          <w:sz w:val="20"/>
          <w:szCs w:val="20"/>
          <w:lang w:val="en-US" w:eastAsia="zh-CN"/>
        </w:rPr>
        <w:t xml:space="preserve"> is configured.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It can be left to eNB</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s implementation to configure HARQ mode for all HARQ process if </w:t>
      </w:r>
      <w:r>
        <w:rPr>
          <w:rFonts w:hint="eastAsia" w:ascii="Arial" w:hAnsi="Arial" w:eastAsia="宋体" w:cs="Arial"/>
          <w:b/>
          <w:bCs/>
          <w:i/>
          <w:iCs/>
          <w:kern w:val="0"/>
          <w:sz w:val="20"/>
          <w:szCs w:val="20"/>
          <w:lang w:val="en-US" w:eastAsia="zh-CN"/>
        </w:rPr>
        <w:t>mpdcch-UL-HARQ-ACK-FeedbackConfig</w:t>
      </w:r>
      <w:r>
        <w:rPr>
          <w:rFonts w:hint="eastAsia" w:ascii="Arial" w:hAnsi="Arial" w:eastAsia="宋体" w:cs="Arial"/>
          <w:b/>
          <w:bCs/>
          <w:kern w:val="0"/>
          <w:sz w:val="20"/>
          <w:szCs w:val="20"/>
          <w:lang w:val="en-US" w:eastAsia="zh-CN"/>
        </w:rPr>
        <w:t xml:space="preserve"> is configured.</w:t>
      </w:r>
    </w:p>
    <w:p>
      <w:pPr>
        <w:widowControl/>
        <w:spacing w:before="240" w:after="180"/>
        <w:outlineLvl w:val="1"/>
        <w:rPr>
          <w:rFonts w:hint="eastAsia" w:ascii="Arial" w:hAnsi="Arial" w:eastAsia="宋体" w:cs="Arial"/>
          <w:kern w:val="0"/>
          <w:sz w:val="32"/>
          <w:szCs w:val="32"/>
        </w:rPr>
      </w:pPr>
      <w:r>
        <w:rPr>
          <w:rFonts w:ascii="Arial" w:hAnsi="Arial" w:eastAsia="宋体" w:cs="Arial"/>
          <w:kern w:val="0"/>
          <w:sz w:val="32"/>
          <w:szCs w:val="32"/>
        </w:rPr>
        <w:t>2.</w:t>
      </w:r>
      <w:r>
        <w:rPr>
          <w:rFonts w:hint="eastAsia" w:ascii="Arial" w:hAnsi="Arial" w:eastAsia="宋体" w:cs="Arial"/>
          <w:kern w:val="0"/>
          <w:sz w:val="32"/>
          <w:szCs w:val="32"/>
          <w:lang w:val="en-US" w:eastAsia="zh-CN"/>
        </w:rPr>
        <w:t>2</w:t>
      </w:r>
      <w:r>
        <w:rPr>
          <w:rFonts w:ascii="Arial" w:hAnsi="Arial" w:eastAsia="宋体" w:cs="Arial"/>
          <w:kern w:val="0"/>
          <w:sz w:val="32"/>
          <w:szCs w:val="32"/>
        </w:rPr>
        <w:t xml:space="preserve"> </w:t>
      </w:r>
      <w:r>
        <w:rPr>
          <w:rFonts w:hint="eastAsia" w:ascii="Arial" w:hAnsi="Arial" w:eastAsia="宋体" w:cs="Arial"/>
          <w:kern w:val="0"/>
          <w:sz w:val="32"/>
          <w:szCs w:val="32"/>
        </w:rPr>
        <w:t>UL transmission using PUR</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As specified in TS 36.300 [3], PUR (Pre-configured uplink) was introduced to allow UL transmission for UE in idle mode.  </w:t>
      </w:r>
    </w:p>
    <w:tbl>
      <w:tblPr>
        <w:tblStyle w:val="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vertAlign w:val="baseline"/>
                <w:lang w:val="en-US" w:eastAsia="zh-CN"/>
              </w:rPr>
            </w:pPr>
            <w:r>
              <w:rPr>
                <w:rFonts w:hint="eastAsia" w:ascii="Arial" w:hAnsi="Arial" w:eastAsia="宋体" w:cs="Arial"/>
                <w:kern w:val="0"/>
                <w:sz w:val="20"/>
                <w:szCs w:val="20"/>
                <w:lang w:val="en-US" w:eastAsia="zh-CN"/>
              </w:rPr>
              <w:t>Transmission using PUR allows one uplink transmission from RRC_IDLE using a preconfigured uplink resource without performing the random access procedure.</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NTN, HARQ mode B is only applicable to connected mode. In last meeting, some companies proposed to configure HARQ mode B for UL transmission using PUR and support blind re-transmission for PUR. We don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see strong motivation to apply HARQ mode B for idle mode, and we prefer not to configure HARQ mode for UL transmission using PUR.</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RAN2 confirm not to configure HARQ mode for UL transmission using PUR.</w:t>
      </w:r>
    </w:p>
    <w:p>
      <w:pPr>
        <w:widowControl/>
        <w:spacing w:before="240" w:after="180"/>
        <w:outlineLvl w:val="1"/>
        <w:rPr>
          <w:rFonts w:hint="default" w:ascii="Arial" w:hAnsi="Arial" w:eastAsia="宋体" w:cs="Arial"/>
          <w:kern w:val="0"/>
          <w:sz w:val="32"/>
          <w:szCs w:val="32"/>
          <w:lang w:val="en-US" w:eastAsia="zh-CN"/>
        </w:rPr>
      </w:pPr>
      <w:r>
        <w:rPr>
          <w:rFonts w:hint="eastAsia" w:ascii="Arial" w:hAnsi="Arial" w:eastAsia="宋体" w:cs="Arial"/>
          <w:kern w:val="0"/>
          <w:sz w:val="32"/>
          <w:szCs w:val="32"/>
          <w:lang w:val="en-US" w:eastAsia="zh-CN"/>
        </w:rPr>
        <w:t xml:space="preserve">2.3 Enabling/disabling HARQ feedback for UL transmission </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dis</w:t>
      </w:r>
      <w:bookmarkStart w:id="0" w:name="_GoBack"/>
      <w:bookmarkEnd w:id="0"/>
      <w:r>
        <w:rPr>
          <w:rFonts w:hint="eastAsia" w:ascii="Arial" w:hAnsi="Arial" w:eastAsia="宋体" w:cs="Arial"/>
          <w:kern w:val="0"/>
          <w:sz w:val="20"/>
          <w:szCs w:val="20"/>
          <w:lang w:val="en-US" w:eastAsia="zh-CN"/>
        </w:rPr>
        <w:t>cussed how to configure enabling/disabling of HARQ feedback for UL transmission, via RRC signaling only or via RRC signaling and DCI which is similar to DL transmission. From our view, we prefer to have a unified solution for both DL and UL. Furthermore, the motivation on why DCI-based solution is supported for DL is applicable to UL as well, and it is more flexible for the network control.</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3: The same mechanism can be applied to configure/indicate enabling/disabling of HARQ feedback for both DL and UL transmission, i.e. support of the configuration via RRC signaling or DCI indication per HARQ process, and support of the DCI indication to override RRC configuration.</w:t>
      </w:r>
    </w:p>
    <w:p>
      <w:pPr>
        <w:widowControl/>
        <w:spacing w:before="240" w:after="180"/>
        <w:outlineLvl w:val="1"/>
        <w:rPr>
          <w:rFonts w:hint="default" w:ascii="Arial" w:hAnsi="Arial" w:eastAsia="宋体" w:cs="Arial"/>
          <w:kern w:val="0"/>
          <w:sz w:val="32"/>
          <w:szCs w:val="32"/>
          <w:lang w:val="en-US" w:eastAsia="zh-CN"/>
        </w:rPr>
      </w:pPr>
      <w:r>
        <w:rPr>
          <w:rFonts w:ascii="Arial" w:hAnsi="Arial" w:eastAsia="宋体" w:cs="Arial"/>
          <w:kern w:val="0"/>
          <w:sz w:val="32"/>
          <w:szCs w:val="32"/>
        </w:rPr>
        <w:t>2.</w:t>
      </w:r>
      <w:r>
        <w:rPr>
          <w:rFonts w:hint="eastAsia" w:ascii="Arial" w:hAnsi="Arial" w:eastAsia="宋体" w:cs="Arial"/>
          <w:kern w:val="0"/>
          <w:sz w:val="32"/>
          <w:szCs w:val="32"/>
          <w:lang w:val="en-US" w:eastAsia="zh-CN"/>
        </w:rPr>
        <w:t>4</w:t>
      </w:r>
      <w:r>
        <w:rPr>
          <w:rFonts w:ascii="Arial" w:hAnsi="Arial" w:eastAsia="宋体" w:cs="Arial"/>
          <w:kern w:val="0"/>
          <w:sz w:val="32"/>
          <w:szCs w:val="32"/>
        </w:rPr>
        <w:t xml:space="preserve"> </w:t>
      </w:r>
      <w:r>
        <w:rPr>
          <w:rFonts w:hint="eastAsia" w:ascii="Arial" w:hAnsi="Arial" w:eastAsia="宋体" w:cs="Arial"/>
          <w:kern w:val="0"/>
          <w:sz w:val="32"/>
          <w:szCs w:val="32"/>
          <w:lang w:val="en-US" w:eastAsia="zh-CN"/>
        </w:rPr>
        <w:t xml:space="preserve">Configuration of enabling/disabling HARQ feedback </w:t>
      </w:r>
    </w:p>
    <w:p>
      <w:pPr>
        <w:pStyle w:val="3"/>
        <w:rPr>
          <w:rFonts w:hint="default" w:ascii="Arial" w:hAnsi="Arial" w:eastAsia="等线" w:cs="Arial"/>
          <w:sz w:val="20"/>
          <w:szCs w:val="20"/>
        </w:rPr>
      </w:pPr>
      <w:r>
        <w:rPr>
          <w:rFonts w:hint="default" w:ascii="Arial" w:hAnsi="Arial" w:eastAsia="等线" w:cs="Arial"/>
          <w:sz w:val="20"/>
          <w:szCs w:val="20"/>
        </w:rPr>
        <w:t xml:space="preserve">In NR NTN, a </w:t>
      </w:r>
      <w:r>
        <w:rPr>
          <w:rFonts w:hint="eastAsia" w:ascii="Arial" w:hAnsi="Arial" w:eastAsia="等线" w:cs="Arial"/>
          <w:sz w:val="20"/>
          <w:szCs w:val="20"/>
          <w:lang w:val="en-US" w:eastAsia="zh-CN"/>
        </w:rPr>
        <w:t>field</w:t>
      </w:r>
      <w:r>
        <w:rPr>
          <w:rFonts w:hint="default" w:ascii="Arial" w:hAnsi="Arial" w:eastAsia="等线" w:cs="Arial"/>
          <w:i/>
          <w:sz w:val="20"/>
          <w:szCs w:val="20"/>
        </w:rPr>
        <w:t xml:space="preserve"> downlinkHARQ-FeedbackDisabled</w:t>
      </w:r>
      <w:r>
        <w:rPr>
          <w:rFonts w:hint="default" w:ascii="Arial" w:hAnsi="Arial" w:eastAsia="等线" w:cs="Arial"/>
          <w:sz w:val="20"/>
          <w:szCs w:val="20"/>
        </w:rPr>
        <w:t xml:space="preserve"> in </w:t>
      </w:r>
      <w:r>
        <w:rPr>
          <w:rFonts w:hint="default" w:ascii="Arial" w:hAnsi="Arial" w:eastAsia="等线" w:cs="Arial"/>
          <w:i/>
          <w:sz w:val="20"/>
          <w:szCs w:val="20"/>
        </w:rPr>
        <w:t>PDSCH-ServingCellConfig</w:t>
      </w:r>
      <w:r>
        <w:rPr>
          <w:rFonts w:hint="default" w:ascii="Arial" w:hAnsi="Arial" w:eastAsia="等线" w:cs="Arial"/>
          <w:sz w:val="20"/>
          <w:szCs w:val="20"/>
        </w:rPr>
        <w:t xml:space="preserve"> IE </w:t>
      </w:r>
      <w:r>
        <w:rPr>
          <w:rFonts w:hint="eastAsia" w:ascii="Arial" w:hAnsi="Arial" w:eastAsia="等线" w:cs="Arial"/>
          <w:sz w:val="20"/>
          <w:szCs w:val="20"/>
          <w:lang w:val="en-US" w:eastAsia="zh-CN"/>
        </w:rPr>
        <w:t xml:space="preserve">is used to disable the DL HARQ feedback per HARQ process ID, </w:t>
      </w:r>
      <w:r>
        <w:rPr>
          <w:rFonts w:hint="default" w:ascii="Arial" w:hAnsi="Arial" w:eastAsia="等线" w:cs="Arial"/>
          <w:sz w:val="20"/>
          <w:szCs w:val="20"/>
        </w:rPr>
        <w:t xml:space="preserve">and a </w:t>
      </w:r>
      <w:r>
        <w:rPr>
          <w:rFonts w:hint="eastAsia" w:ascii="Arial" w:hAnsi="Arial" w:eastAsia="等线" w:cs="Arial"/>
          <w:sz w:val="20"/>
          <w:szCs w:val="20"/>
          <w:lang w:val="en-US" w:eastAsia="zh-CN"/>
        </w:rPr>
        <w:t>field</w:t>
      </w:r>
      <w:r>
        <w:rPr>
          <w:rFonts w:hint="default" w:ascii="Arial" w:hAnsi="Arial" w:eastAsia="等线" w:cs="Arial"/>
          <w:i/>
          <w:sz w:val="20"/>
          <w:szCs w:val="20"/>
        </w:rPr>
        <w:t xml:space="preserve"> UplinkHARQ-mode</w:t>
      </w:r>
      <w:r>
        <w:rPr>
          <w:rFonts w:hint="default" w:ascii="Arial" w:hAnsi="Arial" w:eastAsia="等线" w:cs="Arial"/>
          <w:sz w:val="20"/>
          <w:szCs w:val="20"/>
        </w:rPr>
        <w:t xml:space="preserve"> in </w:t>
      </w:r>
      <w:r>
        <w:rPr>
          <w:rFonts w:hint="default" w:ascii="Arial" w:hAnsi="Arial" w:eastAsia="等线" w:cs="Arial"/>
          <w:i/>
          <w:sz w:val="20"/>
          <w:szCs w:val="20"/>
        </w:rPr>
        <w:t>PUSCH-ServingCellConfig</w:t>
      </w:r>
      <w:r>
        <w:rPr>
          <w:rFonts w:hint="default" w:ascii="Arial" w:hAnsi="Arial" w:eastAsia="等线" w:cs="Arial"/>
          <w:sz w:val="20"/>
          <w:szCs w:val="20"/>
        </w:rPr>
        <w:t xml:space="preserve"> IE </w:t>
      </w:r>
      <w:r>
        <w:rPr>
          <w:rFonts w:hint="eastAsia" w:ascii="Arial" w:hAnsi="Arial" w:eastAsia="等线" w:cs="Arial"/>
          <w:sz w:val="20"/>
          <w:szCs w:val="20"/>
          <w:lang w:val="en-US" w:eastAsia="zh-CN"/>
        </w:rPr>
        <w:t>is</w:t>
      </w:r>
      <w:r>
        <w:rPr>
          <w:rFonts w:hint="default" w:ascii="Arial" w:hAnsi="Arial" w:eastAsia="等线" w:cs="Arial"/>
          <w:sz w:val="20"/>
          <w:szCs w:val="20"/>
        </w:rPr>
        <w:t xml:space="preserve"> used to set the HARQ mode per HARQ process ID. For IoT</w:t>
      </w:r>
      <w:r>
        <w:rPr>
          <w:rFonts w:hint="eastAsia" w:ascii="Arial" w:hAnsi="Arial" w:eastAsia="等线" w:cs="Arial"/>
          <w:sz w:val="20"/>
          <w:szCs w:val="20"/>
          <w:lang w:val="en-US" w:eastAsia="zh-CN"/>
        </w:rPr>
        <w:t>-</w:t>
      </w:r>
      <w:r>
        <w:rPr>
          <w:rFonts w:hint="default" w:ascii="Arial" w:hAnsi="Arial" w:eastAsia="等线" w:cs="Arial"/>
          <w:sz w:val="20"/>
          <w:szCs w:val="20"/>
        </w:rPr>
        <w:t>NTN, we c</w:t>
      </w:r>
      <w:r>
        <w:rPr>
          <w:rFonts w:hint="eastAsia" w:ascii="Arial" w:hAnsi="Arial" w:eastAsia="等线" w:cs="Arial"/>
          <w:sz w:val="20"/>
          <w:szCs w:val="20"/>
          <w:lang w:val="en-US" w:eastAsia="zh-CN"/>
        </w:rPr>
        <w:t>an</w:t>
      </w:r>
      <w:r>
        <w:rPr>
          <w:rFonts w:hint="default" w:ascii="Arial" w:hAnsi="Arial" w:eastAsia="等线" w:cs="Arial"/>
          <w:sz w:val="20"/>
          <w:szCs w:val="20"/>
        </w:rPr>
        <w:t xml:space="preserve"> </w:t>
      </w:r>
      <w:r>
        <w:rPr>
          <w:rFonts w:hint="eastAsia" w:ascii="Arial" w:hAnsi="Arial" w:eastAsia="等线" w:cs="Arial"/>
          <w:sz w:val="20"/>
          <w:szCs w:val="20"/>
          <w:lang w:val="en-US" w:eastAsia="zh-CN"/>
        </w:rPr>
        <w:t xml:space="preserve">introduce the similar fields to disable the DL HARQ feedback or </w:t>
      </w:r>
      <w:r>
        <w:rPr>
          <w:rFonts w:hint="default" w:ascii="Arial" w:hAnsi="Arial" w:eastAsia="等线" w:cs="Arial"/>
          <w:sz w:val="20"/>
          <w:szCs w:val="20"/>
        </w:rPr>
        <w:t>set the HARQ mode per HARQ process ID</w:t>
      </w:r>
      <w:r>
        <w:rPr>
          <w:rFonts w:hint="eastAsia" w:ascii="Arial" w:hAnsi="Arial" w:eastAsia="等线" w:cs="Arial"/>
          <w:sz w:val="20"/>
          <w:szCs w:val="20"/>
          <w:lang w:val="en-US" w:eastAsia="zh-CN"/>
        </w:rPr>
        <w:t>.</w:t>
      </w:r>
      <w:r>
        <w:rPr>
          <w:rFonts w:hint="default" w:ascii="Arial" w:hAnsi="Arial" w:eastAsia="等线" w:cs="Arial"/>
          <w:sz w:val="20"/>
          <w:szCs w:val="20"/>
        </w:rPr>
        <w:t xml:space="preserve"> </w:t>
      </w:r>
    </w:p>
    <w:p>
      <w:pPr>
        <w:pStyle w:val="3"/>
        <w:rPr>
          <w:rFonts w:hint="default" w:ascii="Arial" w:hAnsi="Arial" w:cs="Arial"/>
          <w:sz w:val="20"/>
          <w:szCs w:val="20"/>
        </w:rPr>
      </w:pPr>
      <w:r>
        <w:rPr>
          <w:rFonts w:hint="eastAsia" w:ascii="Arial" w:hAnsi="Arial" w:eastAsia="等线" w:cs="Arial"/>
          <w:sz w:val="20"/>
          <w:szCs w:val="20"/>
          <w:lang w:val="en-US" w:eastAsia="zh-CN"/>
        </w:rPr>
        <w:t>For DL transmission</w:t>
      </w:r>
      <w:r>
        <w:rPr>
          <w:rFonts w:hint="default" w:ascii="Arial" w:hAnsi="Arial" w:eastAsia="等线" w:cs="Arial"/>
          <w:sz w:val="20"/>
          <w:szCs w:val="20"/>
        </w:rPr>
        <w:t>,</w:t>
      </w:r>
      <w:r>
        <w:rPr>
          <w:rFonts w:hint="eastAsia" w:ascii="Arial" w:hAnsi="Arial" w:eastAsia="等线" w:cs="Arial"/>
          <w:sz w:val="20"/>
          <w:szCs w:val="20"/>
          <w:lang w:val="en-US" w:eastAsia="zh-CN"/>
        </w:rPr>
        <w:t xml:space="preserve"> the</w:t>
      </w:r>
      <w:r>
        <w:rPr>
          <w:rFonts w:hint="default" w:ascii="Arial" w:hAnsi="Arial" w:eastAsia="等线" w:cs="Arial"/>
          <w:sz w:val="20"/>
          <w:szCs w:val="20"/>
        </w:rPr>
        <w:t xml:space="preserve"> configuration of enabling/disabling HARQ feedback </w:t>
      </w:r>
      <w:r>
        <w:rPr>
          <w:rFonts w:hint="eastAsia" w:ascii="Arial" w:hAnsi="Arial" w:eastAsia="等线" w:cs="Arial"/>
          <w:sz w:val="20"/>
          <w:szCs w:val="20"/>
          <w:lang w:val="en-US" w:eastAsia="zh-CN"/>
        </w:rPr>
        <w:t>can be</w:t>
      </w:r>
      <w:r>
        <w:rPr>
          <w:rFonts w:hint="default" w:ascii="Arial" w:hAnsi="Arial" w:eastAsia="等线" w:cs="Arial"/>
          <w:sz w:val="20"/>
          <w:szCs w:val="20"/>
        </w:rPr>
        <w:t xml:space="preserve"> included in </w:t>
      </w:r>
      <w:r>
        <w:rPr>
          <w:rFonts w:hint="default" w:ascii="Arial" w:hAnsi="Arial" w:eastAsia="等线" w:cs="Arial"/>
          <w:i/>
          <w:sz w:val="20"/>
          <w:szCs w:val="20"/>
        </w:rPr>
        <w:t>PDSCH-Config</w:t>
      </w:r>
      <w:r>
        <w:rPr>
          <w:rFonts w:hint="default" w:ascii="Arial" w:hAnsi="Arial" w:eastAsia="等线" w:cs="Arial"/>
          <w:sz w:val="20"/>
          <w:szCs w:val="20"/>
        </w:rPr>
        <w:t xml:space="preserve"> IE and </w:t>
      </w:r>
      <w:r>
        <w:rPr>
          <w:rFonts w:hint="default" w:ascii="Arial" w:hAnsi="Arial" w:eastAsia="等线" w:cs="Arial"/>
          <w:i/>
          <w:sz w:val="20"/>
          <w:szCs w:val="20"/>
        </w:rPr>
        <w:t>NPDSCH-Config-NB</w:t>
      </w:r>
      <w:r>
        <w:rPr>
          <w:rFonts w:hint="default" w:ascii="Arial" w:hAnsi="Arial" w:eastAsia="等线" w:cs="Arial"/>
          <w:sz w:val="20"/>
          <w:szCs w:val="20"/>
        </w:rPr>
        <w:t xml:space="preserve"> IE</w:t>
      </w:r>
      <w:r>
        <w:rPr>
          <w:rFonts w:hint="eastAsia" w:ascii="Arial" w:hAnsi="Arial" w:eastAsia="等线" w:cs="Arial"/>
          <w:sz w:val="20"/>
          <w:szCs w:val="20"/>
          <w:lang w:val="en-US" w:eastAsia="zh-CN"/>
        </w:rPr>
        <w:t xml:space="preserve"> for eMTC and NB-IoT</w:t>
      </w:r>
      <w:r>
        <w:rPr>
          <w:rFonts w:hint="default" w:ascii="Arial" w:hAnsi="Arial" w:eastAsia="等线" w:cs="Arial"/>
          <w:sz w:val="20"/>
          <w:szCs w:val="20"/>
        </w:rPr>
        <w:t xml:space="preserve"> respectively</w:t>
      </w:r>
      <w:r>
        <w:rPr>
          <w:rFonts w:hint="eastAsia" w:ascii="Arial" w:hAnsi="Arial" w:eastAsia="等线" w:cs="Arial"/>
          <w:sz w:val="20"/>
          <w:szCs w:val="20"/>
          <w:lang w:val="en-US" w:eastAsia="zh-CN"/>
        </w:rPr>
        <w:t>. For UL transmission,</w:t>
      </w:r>
      <w:r>
        <w:rPr>
          <w:rFonts w:hint="default" w:ascii="Arial" w:hAnsi="Arial" w:eastAsia="等线" w:cs="Arial"/>
          <w:sz w:val="20"/>
          <w:szCs w:val="20"/>
        </w:rPr>
        <w:t xml:space="preserve"> </w:t>
      </w:r>
      <w:r>
        <w:rPr>
          <w:rFonts w:hint="eastAsia" w:ascii="Arial" w:hAnsi="Arial" w:eastAsia="等线" w:cs="Arial"/>
          <w:sz w:val="20"/>
          <w:szCs w:val="20"/>
          <w:lang w:val="en-US" w:eastAsia="zh-CN"/>
        </w:rPr>
        <w:t xml:space="preserve">the </w:t>
      </w:r>
      <w:r>
        <w:rPr>
          <w:rFonts w:hint="default" w:ascii="Arial" w:hAnsi="Arial" w:cs="Arial"/>
          <w:sz w:val="20"/>
          <w:szCs w:val="20"/>
        </w:rPr>
        <w:t xml:space="preserve">configuration of HARQ mode </w:t>
      </w:r>
      <w:r>
        <w:rPr>
          <w:rFonts w:hint="eastAsia" w:ascii="Arial" w:hAnsi="Arial" w:cs="Arial"/>
          <w:sz w:val="20"/>
          <w:szCs w:val="20"/>
          <w:lang w:val="en-US" w:eastAsia="zh-CN"/>
        </w:rPr>
        <w:t>can be</w:t>
      </w:r>
      <w:r>
        <w:rPr>
          <w:rFonts w:hint="default" w:ascii="Arial" w:hAnsi="Arial" w:cs="Arial"/>
          <w:sz w:val="20"/>
          <w:szCs w:val="20"/>
        </w:rPr>
        <w:t xml:space="preserve"> included in </w:t>
      </w:r>
      <w:r>
        <w:rPr>
          <w:rFonts w:hint="default" w:ascii="Arial" w:hAnsi="Arial" w:cs="Arial"/>
          <w:i/>
          <w:sz w:val="20"/>
          <w:szCs w:val="20"/>
        </w:rPr>
        <w:t>PUSCH-Config</w:t>
      </w:r>
      <w:r>
        <w:rPr>
          <w:rFonts w:hint="default" w:ascii="Arial" w:hAnsi="Arial" w:cs="Arial"/>
          <w:sz w:val="20"/>
          <w:szCs w:val="20"/>
        </w:rPr>
        <w:t xml:space="preserve"> </w:t>
      </w:r>
      <w:r>
        <w:rPr>
          <w:rFonts w:hint="default" w:ascii="Arial" w:hAnsi="Arial" w:eastAsia="等线" w:cs="Arial"/>
          <w:sz w:val="20"/>
          <w:szCs w:val="20"/>
        </w:rPr>
        <w:t>IE</w:t>
      </w:r>
      <w:r>
        <w:rPr>
          <w:rFonts w:hint="default" w:ascii="Arial" w:hAnsi="Arial" w:cs="Arial"/>
          <w:sz w:val="20"/>
          <w:szCs w:val="20"/>
        </w:rPr>
        <w:t xml:space="preserve"> and </w:t>
      </w:r>
      <w:r>
        <w:rPr>
          <w:rFonts w:hint="default" w:ascii="Arial" w:hAnsi="Arial" w:cs="Arial"/>
          <w:i/>
          <w:sz w:val="20"/>
          <w:szCs w:val="20"/>
        </w:rPr>
        <w:t>NPUSCH-Config-NB</w:t>
      </w:r>
      <w:r>
        <w:rPr>
          <w:rFonts w:hint="default" w:ascii="Arial" w:hAnsi="Arial" w:eastAsia="等线" w:cs="Arial"/>
          <w:sz w:val="20"/>
          <w:szCs w:val="20"/>
        </w:rPr>
        <w:t xml:space="preserve"> IE</w:t>
      </w:r>
      <w:r>
        <w:rPr>
          <w:rFonts w:hint="eastAsia" w:ascii="Arial" w:hAnsi="Arial" w:eastAsia="等线" w:cs="Arial"/>
          <w:sz w:val="20"/>
          <w:szCs w:val="20"/>
          <w:lang w:val="en-US" w:eastAsia="zh-CN"/>
        </w:rPr>
        <w:t xml:space="preserve"> for eMTC and NB-IoT</w:t>
      </w:r>
      <w:r>
        <w:rPr>
          <w:rFonts w:hint="default" w:ascii="Arial" w:hAnsi="Arial" w:eastAsia="等线" w:cs="Arial"/>
          <w:sz w:val="20"/>
          <w:szCs w:val="20"/>
        </w:rPr>
        <w:t xml:space="preserve"> </w:t>
      </w:r>
      <w:r>
        <w:rPr>
          <w:rFonts w:hint="default" w:ascii="Arial" w:hAnsi="Arial" w:cs="Arial"/>
          <w:sz w:val="20"/>
          <w:szCs w:val="20"/>
        </w:rPr>
        <w:t>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The configuration of enabling/disabling HARQ feedback for DL transmission can be included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The configuration of enabling/disabling HARQ feedback for UL transmission can be included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It can be left to eNB</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s implementation to configure HARQ mode for all HARQ process if </w:t>
      </w:r>
      <w:r>
        <w:rPr>
          <w:rFonts w:hint="eastAsia" w:ascii="Arial" w:hAnsi="Arial" w:eastAsia="宋体" w:cs="Arial"/>
          <w:b/>
          <w:bCs/>
          <w:i/>
          <w:iCs/>
          <w:kern w:val="0"/>
          <w:sz w:val="20"/>
          <w:szCs w:val="20"/>
          <w:lang w:val="en-US" w:eastAsia="zh-CN"/>
        </w:rPr>
        <w:t>mpdcch-UL-HARQ-ACK-FeedbackConfig</w:t>
      </w:r>
      <w:r>
        <w:rPr>
          <w:rFonts w:hint="eastAsia" w:ascii="Arial" w:hAnsi="Arial" w:eastAsia="宋体" w:cs="Arial"/>
          <w:b/>
          <w:bCs/>
          <w:kern w:val="0"/>
          <w:sz w:val="20"/>
          <w:szCs w:val="20"/>
          <w:lang w:val="en-US" w:eastAsia="zh-CN"/>
        </w:rPr>
        <w:t xml:space="preserve"> is configured.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RAN2 confirm not to configure HARQ mode for UL transmission using PUR.</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same mechanism can be applied to configure/indicate enabling/disabling of HARQ feedback for both DL and UL transmission, i.e. support of the configuration via RRC signaling or DCI indication per HARQ process, and support of the DCI indication to override RRC configuration.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The configuration of enabling/disabling HARQ feedback for DL transmission can be included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The configuration of enabling/disabling HARQ feedback for UL transmission can be included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Draft_R2_121bis_meeting_report_v1</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36.331 LTE; Evolved Universal Terrestrial Radio Access (E-UTRA); Radio Resource Control (RRC);</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36.300 Evolved Universal Terrestrial Radio Access (E-UTRA) and Evolved Universal Terrestrial Radio Access Network (E-UTRAN);Overall description; Stage 2</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BA550EE"/>
    <w:multiLevelType w:val="multilevel"/>
    <w:tmpl w:val="4BA550E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5F352FF6"/>
    <w:multiLevelType w:val="multilevel"/>
    <w:tmpl w:val="5F352FF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5147A"/>
    <w:rsid w:val="00196A53"/>
    <w:rsid w:val="001B2D58"/>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A6751"/>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31C2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2C51341"/>
    <w:rsid w:val="0312370F"/>
    <w:rsid w:val="038A1F16"/>
    <w:rsid w:val="04406F16"/>
    <w:rsid w:val="04A37BF0"/>
    <w:rsid w:val="060D08B4"/>
    <w:rsid w:val="068B1397"/>
    <w:rsid w:val="094470AB"/>
    <w:rsid w:val="09AD4CAA"/>
    <w:rsid w:val="0A1469F1"/>
    <w:rsid w:val="0A173D8A"/>
    <w:rsid w:val="0B7552D3"/>
    <w:rsid w:val="0CC05689"/>
    <w:rsid w:val="0CD5224C"/>
    <w:rsid w:val="0D771EA7"/>
    <w:rsid w:val="0E205AED"/>
    <w:rsid w:val="0EE436A5"/>
    <w:rsid w:val="0F071C89"/>
    <w:rsid w:val="0F220B5F"/>
    <w:rsid w:val="104F2F73"/>
    <w:rsid w:val="110171B2"/>
    <w:rsid w:val="11865C8A"/>
    <w:rsid w:val="11F10CFD"/>
    <w:rsid w:val="123900DB"/>
    <w:rsid w:val="124311BD"/>
    <w:rsid w:val="124A1975"/>
    <w:rsid w:val="13392934"/>
    <w:rsid w:val="13D05981"/>
    <w:rsid w:val="13F13831"/>
    <w:rsid w:val="14E836E8"/>
    <w:rsid w:val="14FF75D3"/>
    <w:rsid w:val="155F5A4B"/>
    <w:rsid w:val="157E70AA"/>
    <w:rsid w:val="15BE553B"/>
    <w:rsid w:val="161147C5"/>
    <w:rsid w:val="16A3322F"/>
    <w:rsid w:val="17250459"/>
    <w:rsid w:val="173E75B8"/>
    <w:rsid w:val="174F4418"/>
    <w:rsid w:val="17CD5A7B"/>
    <w:rsid w:val="187A66B9"/>
    <w:rsid w:val="19935127"/>
    <w:rsid w:val="19CB2687"/>
    <w:rsid w:val="1ACB37C1"/>
    <w:rsid w:val="1B7D2F59"/>
    <w:rsid w:val="1BF105C9"/>
    <w:rsid w:val="1C9133C6"/>
    <w:rsid w:val="1CB122DB"/>
    <w:rsid w:val="1DBA42E6"/>
    <w:rsid w:val="1DE55E1B"/>
    <w:rsid w:val="1E2F5ED3"/>
    <w:rsid w:val="1EB6286D"/>
    <w:rsid w:val="1FD42756"/>
    <w:rsid w:val="20F63843"/>
    <w:rsid w:val="21012678"/>
    <w:rsid w:val="216646D4"/>
    <w:rsid w:val="219A23F8"/>
    <w:rsid w:val="2270235C"/>
    <w:rsid w:val="22B32E1B"/>
    <w:rsid w:val="23944C77"/>
    <w:rsid w:val="249D5D77"/>
    <w:rsid w:val="254D3519"/>
    <w:rsid w:val="255B7B59"/>
    <w:rsid w:val="27B70C8E"/>
    <w:rsid w:val="27E13FF4"/>
    <w:rsid w:val="28471CEA"/>
    <w:rsid w:val="28781132"/>
    <w:rsid w:val="28A83036"/>
    <w:rsid w:val="28E76E28"/>
    <w:rsid w:val="29AC2D66"/>
    <w:rsid w:val="29BF17B7"/>
    <w:rsid w:val="29D43616"/>
    <w:rsid w:val="2A413B9B"/>
    <w:rsid w:val="2B0514F7"/>
    <w:rsid w:val="2B1A7B79"/>
    <w:rsid w:val="2B4D1216"/>
    <w:rsid w:val="2B882648"/>
    <w:rsid w:val="2BD74133"/>
    <w:rsid w:val="2C095760"/>
    <w:rsid w:val="2C4606A6"/>
    <w:rsid w:val="2C7D265B"/>
    <w:rsid w:val="2D844A12"/>
    <w:rsid w:val="2E5B62FC"/>
    <w:rsid w:val="2FC93A6E"/>
    <w:rsid w:val="30B60AE3"/>
    <w:rsid w:val="30B76F25"/>
    <w:rsid w:val="30C4636F"/>
    <w:rsid w:val="31341CC3"/>
    <w:rsid w:val="33DA6921"/>
    <w:rsid w:val="34221772"/>
    <w:rsid w:val="367B360C"/>
    <w:rsid w:val="36B15D02"/>
    <w:rsid w:val="36F84B57"/>
    <w:rsid w:val="385B5BDA"/>
    <w:rsid w:val="38FC32F5"/>
    <w:rsid w:val="39030A9D"/>
    <w:rsid w:val="3A7A23A9"/>
    <w:rsid w:val="3CA66A58"/>
    <w:rsid w:val="3D5B3EF0"/>
    <w:rsid w:val="3DAC4E92"/>
    <w:rsid w:val="3DE74947"/>
    <w:rsid w:val="3ECD0998"/>
    <w:rsid w:val="3ED508CA"/>
    <w:rsid w:val="3EDA1B26"/>
    <w:rsid w:val="3F216650"/>
    <w:rsid w:val="3FA42170"/>
    <w:rsid w:val="3FAF36DB"/>
    <w:rsid w:val="40645361"/>
    <w:rsid w:val="406A14B3"/>
    <w:rsid w:val="40F67275"/>
    <w:rsid w:val="41855840"/>
    <w:rsid w:val="429B4C3C"/>
    <w:rsid w:val="42B94BEA"/>
    <w:rsid w:val="43146FF6"/>
    <w:rsid w:val="433204F8"/>
    <w:rsid w:val="44F46625"/>
    <w:rsid w:val="4599227F"/>
    <w:rsid w:val="45E26558"/>
    <w:rsid w:val="45EA2721"/>
    <w:rsid w:val="46770DD0"/>
    <w:rsid w:val="46FE4C6E"/>
    <w:rsid w:val="472C72C1"/>
    <w:rsid w:val="47C04462"/>
    <w:rsid w:val="47D84F8A"/>
    <w:rsid w:val="47DB6ABB"/>
    <w:rsid w:val="4854546D"/>
    <w:rsid w:val="49A97E85"/>
    <w:rsid w:val="4AC6206F"/>
    <w:rsid w:val="4C3F10FC"/>
    <w:rsid w:val="4C79760A"/>
    <w:rsid w:val="4D746926"/>
    <w:rsid w:val="4D776224"/>
    <w:rsid w:val="4DB0556E"/>
    <w:rsid w:val="4E9E13D8"/>
    <w:rsid w:val="4EF5192E"/>
    <w:rsid w:val="4F9F5231"/>
    <w:rsid w:val="501333F6"/>
    <w:rsid w:val="5135665F"/>
    <w:rsid w:val="514A5666"/>
    <w:rsid w:val="51CC648B"/>
    <w:rsid w:val="528B1069"/>
    <w:rsid w:val="53D170F4"/>
    <w:rsid w:val="55650B86"/>
    <w:rsid w:val="55B90ED4"/>
    <w:rsid w:val="55CD5974"/>
    <w:rsid w:val="562D405C"/>
    <w:rsid w:val="56581D59"/>
    <w:rsid w:val="57057A28"/>
    <w:rsid w:val="57136566"/>
    <w:rsid w:val="57203CEA"/>
    <w:rsid w:val="578E1CC4"/>
    <w:rsid w:val="58012BF4"/>
    <w:rsid w:val="58AB4E89"/>
    <w:rsid w:val="58B6797B"/>
    <w:rsid w:val="5A2F5AF5"/>
    <w:rsid w:val="5AFF7905"/>
    <w:rsid w:val="5B0B3A73"/>
    <w:rsid w:val="5B492C91"/>
    <w:rsid w:val="5B7762E7"/>
    <w:rsid w:val="5D052C1F"/>
    <w:rsid w:val="5EDE2F50"/>
    <w:rsid w:val="5F2F6349"/>
    <w:rsid w:val="5F573467"/>
    <w:rsid w:val="5F600D4E"/>
    <w:rsid w:val="60D14125"/>
    <w:rsid w:val="64C14E5C"/>
    <w:rsid w:val="652E7A0E"/>
    <w:rsid w:val="660E4242"/>
    <w:rsid w:val="677038E2"/>
    <w:rsid w:val="689B5C91"/>
    <w:rsid w:val="68C4021E"/>
    <w:rsid w:val="68D5400D"/>
    <w:rsid w:val="691D3648"/>
    <w:rsid w:val="69293200"/>
    <w:rsid w:val="694347AF"/>
    <w:rsid w:val="694F06EB"/>
    <w:rsid w:val="6A091242"/>
    <w:rsid w:val="6BE35659"/>
    <w:rsid w:val="6BFE2EC1"/>
    <w:rsid w:val="6E083615"/>
    <w:rsid w:val="6E6F0BB4"/>
    <w:rsid w:val="6E9E6753"/>
    <w:rsid w:val="6EC7257F"/>
    <w:rsid w:val="6ECF75CD"/>
    <w:rsid w:val="6F245D1C"/>
    <w:rsid w:val="6FC268FF"/>
    <w:rsid w:val="71A42B10"/>
    <w:rsid w:val="7279563C"/>
    <w:rsid w:val="732872C5"/>
    <w:rsid w:val="736577F1"/>
    <w:rsid w:val="741B0715"/>
    <w:rsid w:val="75A11A2A"/>
    <w:rsid w:val="76606718"/>
    <w:rsid w:val="76882F1E"/>
    <w:rsid w:val="7735668B"/>
    <w:rsid w:val="78317FBD"/>
    <w:rsid w:val="79097EB0"/>
    <w:rsid w:val="791F37C0"/>
    <w:rsid w:val="79C61A14"/>
    <w:rsid w:val="7A053543"/>
    <w:rsid w:val="7ABB0294"/>
    <w:rsid w:val="7C4E5B9F"/>
    <w:rsid w:val="7E1C1F3D"/>
    <w:rsid w:val="7E886BD8"/>
    <w:rsid w:val="7EA42950"/>
    <w:rsid w:val="7F1C368D"/>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0"/>
    <w:semiHidden/>
    <w:unhideWhenUsed/>
    <w:qFormat/>
    <w:uiPriority w:val="99"/>
    <w:rPr>
      <w:rFonts w:ascii="宋体" w:eastAsia="宋体"/>
      <w:sz w:val="18"/>
      <w:szCs w:val="18"/>
    </w:rPr>
  </w:style>
  <w:style w:type="paragraph" w:styleId="3">
    <w:name w:val="Body Text"/>
    <w:basedOn w:val="1"/>
    <w:unhideWhenUsed/>
    <w:qFormat/>
    <w:uiPriority w:val="99"/>
  </w:style>
  <w:style w:type="paragraph" w:styleId="4">
    <w:name w:val="Balloon Text"/>
    <w:basedOn w:val="1"/>
    <w:link w:val="2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99"/>
    <w:rPr>
      <w:color w:val="0000FF"/>
      <w:u w:val="single"/>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7"/>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Proposal"/>
    <w:basedOn w:val="3"/>
    <w:qFormat/>
    <w:uiPriority w:val="0"/>
    <w:pPr>
      <w:tabs>
        <w:tab w:val="left" w:pos="1701"/>
      </w:tabs>
    </w:pPr>
    <w:rPr>
      <w:rFonts w:ascii="Arial" w:hAnsi="Arial" w:eastAsia="等线"/>
      <w:b/>
      <w:bCs/>
      <w:sz w:val="20"/>
    </w:rPr>
  </w:style>
  <w:style w:type="character" w:customStyle="1" w:styleId="20">
    <w:name w:val="文档结构图 Char"/>
    <w:basedOn w:val="10"/>
    <w:link w:val="2"/>
    <w:semiHidden/>
    <w:qFormat/>
    <w:uiPriority w:val="99"/>
    <w:rPr>
      <w:rFonts w:ascii="宋体" w:eastAsia="宋体"/>
      <w:kern w:val="2"/>
      <w:sz w:val="18"/>
      <w:szCs w:val="18"/>
    </w:rPr>
  </w:style>
  <w:style w:type="character" w:customStyle="1" w:styleId="21">
    <w:name w:val="批注框文本 Char"/>
    <w:basedOn w:val="10"/>
    <w:link w:val="4"/>
    <w:semiHidden/>
    <w:qFormat/>
    <w:uiPriority w:val="99"/>
    <w:rPr>
      <w:kern w:val="2"/>
      <w:sz w:val="18"/>
      <w:szCs w:val="18"/>
    </w:rPr>
  </w:style>
  <w:style w:type="paragraph" w:customStyle="1" w:styleId="22">
    <w:name w:val="TAL"/>
    <w:basedOn w:val="1"/>
    <w:qFormat/>
    <w:uiPriority w:val="0"/>
    <w:pPr>
      <w:keepNext/>
      <w:keepLines/>
      <w:spacing w:after="0"/>
    </w:pPr>
    <w:rPr>
      <w:rFonts w:ascii="Arial" w:hAnsi="Arial"/>
      <w:sz w:val="18"/>
    </w:rPr>
  </w:style>
  <w:style w:type="paragraph" w:customStyle="1" w:styleId="23">
    <w:name w:val="x_msonormal"/>
    <w:basedOn w:val="1"/>
    <w:qFormat/>
    <w:uiPriority w:val="0"/>
    <w:pPr>
      <w:overflowPunct/>
      <w:autoSpaceDE/>
      <w:autoSpaceDN/>
      <w:adjustRightInd/>
      <w:spacing w:after="0"/>
      <w:jc w:val="left"/>
      <w:textAlignment w:val="auto"/>
    </w:pPr>
    <w:rPr>
      <w:rFonts w:ascii="Calibri" w:hAnsi="Calibri" w:eastAsia="Calibri" w:cs="Calibri"/>
      <w:sz w:val="22"/>
      <w:szCs w:val="22"/>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960</Words>
  <Characters>5472</Characters>
  <Lines>45</Lines>
  <Paragraphs>12</Paragraphs>
  <TotalTime>2</TotalTime>
  <ScaleCrop>false</ScaleCrop>
  <LinksUpToDate>false</LinksUpToDate>
  <CharactersWithSpaces>6420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2022-09-30T07:56:00Z</dcterms:created>
  <dc:creator>CMCC_TJY</dc:creator>
  <cp:lastModifiedBy>CMCC</cp:lastModifiedBy>
  <dcterms:modified xsi:type="dcterms:W3CDTF">2023-05-12T07:31:53Z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34E5757DF3D14B5D999B4BB6BA3B4D25</vt:lpwstr>
  </property>
</Properties>
</file>